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0407043D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5F1C1F">
        <w:fldChar w:fldCharType="begin"/>
      </w:r>
      <w:r w:rsidR="005F1C1F">
        <w:instrText xml:space="preserve"> DOCPROPERTY  MtgSeq  \* MERGEFORMAT </w:instrText>
      </w:r>
      <w:r w:rsidR="005F1C1F">
        <w:fldChar w:fldCharType="separate"/>
      </w:r>
      <w:r>
        <w:rPr>
          <w:b/>
          <w:noProof/>
          <w:sz w:val="24"/>
        </w:rPr>
        <w:t>1</w:t>
      </w:r>
      <w:r w:rsidR="005F1C1F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36171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F1C1F">
        <w:fldChar w:fldCharType="begin"/>
      </w:r>
      <w:r w:rsidR="005F1C1F">
        <w:instrText xml:space="preserve"> DOCPROPERTY  Tdoc#  \* MERGEFORMAT </w:instrText>
      </w:r>
      <w:r w:rsidR="005F1C1F">
        <w:fldChar w:fldCharType="separate"/>
      </w:r>
      <w:r>
        <w:rPr>
          <w:b/>
          <w:i/>
          <w:noProof/>
          <w:sz w:val="28"/>
        </w:rPr>
        <w:t>R4-2</w:t>
      </w:r>
      <w:r w:rsidR="005F1C1F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5E5669">
        <w:rPr>
          <w:b/>
          <w:i/>
          <w:noProof/>
          <w:sz w:val="28"/>
        </w:rPr>
        <w:t>19643</w:t>
      </w:r>
    </w:p>
    <w:p w14:paraId="45B6A111" w14:textId="117152AF" w:rsidR="00940222" w:rsidRPr="0052514D" w:rsidRDefault="0036171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  <w:bookmarkStart w:id="0" w:name="_GoBack"/>
      <w:bookmarkEnd w:id="0"/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3EB430FF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265E0B">
        <w:rPr>
          <w:rFonts w:ascii="Arial" w:hAnsi="Arial" w:cs="Arial"/>
          <w:b/>
          <w:sz w:val="22"/>
          <w:szCs w:val="22"/>
        </w:rPr>
        <w:t>NR-NTN HPUE Tx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69B3751F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265E0B">
        <w:rPr>
          <w:rFonts w:ascii="Arial" w:hAnsi="Arial" w:cs="Arial"/>
          <w:b/>
          <w:sz w:val="22"/>
          <w:szCs w:val="22"/>
        </w:rPr>
        <w:t>8.2.2.1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7CCF49B6" w:rsidR="0096690A" w:rsidRDefault="00076746" w:rsidP="009112D7">
      <w:r>
        <w:t xml:space="preserve">In the </w:t>
      </w:r>
      <w:r w:rsidR="00AA45FC">
        <w:t>RAN4#11</w:t>
      </w:r>
      <w:r w:rsidR="0096690A">
        <w:t>2</w:t>
      </w:r>
      <w:r w:rsidR="00DA3A4A">
        <w:rPr>
          <w:rFonts w:hint="eastAsia"/>
          <w:lang w:eastAsia="zh-CN"/>
        </w:rPr>
        <w:t>bis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</w:t>
      </w:r>
      <w:r w:rsidR="009112D7">
        <w:t>241</w:t>
      </w:r>
      <w:r w:rsidR="00DA3A4A">
        <w:t>7122</w:t>
      </w:r>
      <w:r w:rsidR="009112D7">
        <w:t xml:space="preserve"> [1]</w:t>
      </w:r>
      <w:r w:rsidR="00481350">
        <w:t xml:space="preserve"> has </w:t>
      </w:r>
      <w:r w:rsidR="00E14BBF">
        <w:t>agreed on the starting points for NR-NTN HPUE Tx requirements, including the ACLR, SEM and MOP tolerance</w:t>
      </w:r>
      <w:r w:rsidR="0096690A">
        <w:t>.</w:t>
      </w:r>
    </w:p>
    <w:p w14:paraId="374BD151" w14:textId="47BA5E7A" w:rsidR="00E14BBF" w:rsidRDefault="00E14BBF" w:rsidP="009112D7">
      <w:r>
        <w:t>In this paper, we will further discuss the Tx requirements based on the collected co-ex study results.</w:t>
      </w:r>
    </w:p>
    <w:p w14:paraId="1B7823D6" w14:textId="7182F2CB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0C162D">
        <w:t>Tx requirements</w:t>
      </w:r>
    </w:p>
    <w:p w14:paraId="5752D993" w14:textId="37D59482" w:rsidR="00CD3B34" w:rsidRDefault="00BC3E9D" w:rsidP="00CD3B34">
      <w:pPr>
        <w:rPr>
          <w:lang w:val="sv-SE" w:eastAsia="zh-CN"/>
        </w:rPr>
      </w:pPr>
      <w:bookmarkStart w:id="1" w:name="OLE_LINK3"/>
      <w:bookmarkStart w:id="2" w:name="OLE_LINK4"/>
      <w:r>
        <w:rPr>
          <w:lang w:val="sv-SE" w:eastAsia="zh-CN"/>
        </w:rPr>
        <w:t>In [1], the co-ex study has preliminary observation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E9D" w14:paraId="5911AD60" w14:textId="77777777" w:rsidTr="00BC3E9D">
        <w:tc>
          <w:tcPr>
            <w:tcW w:w="9629" w:type="dxa"/>
          </w:tcPr>
          <w:p w14:paraId="06330EEA" w14:textId="77777777" w:rsidR="00BC3E9D" w:rsidRPr="00BC3E9D" w:rsidRDefault="00BC3E9D" w:rsidP="00BC3E9D">
            <w:pPr>
              <w:rPr>
                <w:b/>
                <w:u w:val="single"/>
                <w:lang w:eastAsia="zh-CN"/>
              </w:rPr>
            </w:pPr>
            <w:r w:rsidRPr="00BC3E9D">
              <w:rPr>
                <w:b/>
                <w:u w:val="single"/>
                <w:lang w:eastAsia="zh-CN"/>
              </w:rPr>
              <w:t>Issue 1-8: NR-NTN ACIR/ACLR</w:t>
            </w:r>
          </w:p>
          <w:p w14:paraId="6FCFE904" w14:textId="77777777" w:rsidR="00BC3E9D" w:rsidRPr="00BC3E9D" w:rsidRDefault="00BC3E9D" w:rsidP="00BC3E9D">
            <w:pPr>
              <w:rPr>
                <w:b/>
                <w:bCs/>
                <w:iCs/>
                <w:lang w:eastAsia="zh-CN"/>
              </w:rPr>
            </w:pPr>
            <w:r w:rsidRPr="00BC3E9D">
              <w:rPr>
                <w:b/>
                <w:bCs/>
                <w:iCs/>
                <w:lang w:eastAsia="zh-CN"/>
              </w:rPr>
              <w:t>Agreement:</w:t>
            </w:r>
          </w:p>
          <w:p w14:paraId="162B3FA2" w14:textId="77777777" w:rsidR="00BC3E9D" w:rsidRPr="00BC3E9D" w:rsidRDefault="00BC3E9D" w:rsidP="00BC3E9D">
            <w:pPr>
              <w:numPr>
                <w:ilvl w:val="0"/>
                <w:numId w:val="47"/>
              </w:numPr>
              <w:rPr>
                <w:iCs/>
                <w:lang w:eastAsia="zh-CN"/>
              </w:rPr>
            </w:pPr>
            <w:r w:rsidRPr="00BC3E9D">
              <w:rPr>
                <w:iCs/>
                <w:lang w:eastAsia="zh-CN"/>
              </w:rPr>
              <w:t>Consider following observations can be used as a starting point for RF requirements analysis/studies:</w:t>
            </w:r>
          </w:p>
          <w:p w14:paraId="1434E306" w14:textId="77777777" w:rsidR="00BC3E9D" w:rsidRPr="00BC3E9D" w:rsidRDefault="00BC3E9D" w:rsidP="00BC3E9D">
            <w:pPr>
              <w:numPr>
                <w:ilvl w:val="1"/>
                <w:numId w:val="48"/>
              </w:numPr>
              <w:rPr>
                <w:iCs/>
                <w:lang w:eastAsia="zh-CN"/>
              </w:rPr>
            </w:pPr>
            <w:r w:rsidRPr="00BC3E9D">
              <w:rPr>
                <w:iCs/>
                <w:lang w:eastAsia="zh-CN"/>
              </w:rPr>
              <w:t>Candidate ACLR value for NR-NTN PC2/PC1.5/PC1, based on initial co-ex study results received in #112bis meeting, is 30 dBc</w:t>
            </w:r>
          </w:p>
          <w:p w14:paraId="4BF6275C" w14:textId="77777777" w:rsidR="00BC3E9D" w:rsidRPr="00BC3E9D" w:rsidRDefault="00BC3E9D" w:rsidP="00BC3E9D">
            <w:pPr>
              <w:numPr>
                <w:ilvl w:val="1"/>
                <w:numId w:val="48"/>
              </w:numPr>
              <w:rPr>
                <w:iCs/>
                <w:lang w:eastAsia="zh-CN"/>
              </w:rPr>
            </w:pPr>
            <w:r w:rsidRPr="00BC3E9D">
              <w:rPr>
                <w:iCs/>
                <w:lang w:eastAsia="zh-CN"/>
              </w:rPr>
              <w:t xml:space="preserve">The current TN requirements are more stringent than the observations from co-existence results. Overlapping geographic coverage </w:t>
            </w:r>
            <w:r w:rsidRPr="00BC3E9D">
              <w:rPr>
                <w:rFonts w:hint="eastAsia"/>
                <w:iCs/>
                <w:lang w:eastAsia="zh-CN"/>
              </w:rPr>
              <w:t>between</w:t>
            </w:r>
            <w:r w:rsidRPr="00BC3E9D">
              <w:rPr>
                <w:iCs/>
                <w:lang w:eastAsia="zh-CN"/>
              </w:rPr>
              <w:t xml:space="preserve"> NTN and TN is discussion in RAN4 in other WIs. </w:t>
            </w:r>
          </w:p>
          <w:p w14:paraId="55DB4C79" w14:textId="76CB2942" w:rsidR="00BC3E9D" w:rsidRPr="00BC3E9D" w:rsidRDefault="00BC3E9D" w:rsidP="00CD3B34">
            <w:pPr>
              <w:numPr>
                <w:ilvl w:val="0"/>
                <w:numId w:val="47"/>
              </w:numPr>
              <w:rPr>
                <w:iCs/>
                <w:lang w:eastAsia="zh-CN"/>
              </w:rPr>
            </w:pPr>
            <w:r w:rsidRPr="00BC3E9D">
              <w:rPr>
                <w:iCs/>
                <w:lang w:eastAsia="zh-CN"/>
              </w:rPr>
              <w:t xml:space="preserve">FFS for final ACLR requirements </w:t>
            </w:r>
          </w:p>
        </w:tc>
      </w:tr>
    </w:tbl>
    <w:p w14:paraId="17AF1CBD" w14:textId="6AFAAF1A" w:rsidR="00BC3E9D" w:rsidRDefault="00BC3E9D" w:rsidP="00CD3B34">
      <w:pPr>
        <w:rPr>
          <w:lang w:val="sv-SE" w:eastAsia="zh-CN"/>
        </w:rPr>
      </w:pPr>
    </w:p>
    <w:p w14:paraId="2E1C6877" w14:textId="1B2E5825" w:rsidR="00BC3E9D" w:rsidRDefault="00BC3E9D" w:rsidP="00CD3B34">
      <w:pPr>
        <w:rPr>
          <w:lang w:val="sv-SE" w:eastAsia="zh-CN"/>
        </w:rPr>
      </w:pPr>
      <w:r>
        <w:rPr>
          <w:lang w:val="sv-SE" w:eastAsia="zh-CN"/>
        </w:rPr>
        <w:t>And in one of our separate tdoc submitted to this me</w:t>
      </w:r>
      <w:r w:rsidR="009A62C0">
        <w:rPr>
          <w:lang w:val="sv-SE" w:eastAsia="zh-CN"/>
        </w:rPr>
        <w:t xml:space="preserve">eting, our observation from the collected co-ex study results is that the 30 dBc as ACLR can be sufficient for PC 2/1.5/1 for NR-NTN considering its interference to the TN network. </w:t>
      </w:r>
    </w:p>
    <w:p w14:paraId="719D9D56" w14:textId="70B41AE3" w:rsidR="00E01829" w:rsidRDefault="00E01829" w:rsidP="00CD3B34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O</w:t>
      </w:r>
      <w:r>
        <w:rPr>
          <w:b/>
          <w:lang w:val="sv-SE" w:eastAsia="zh-CN"/>
        </w:rPr>
        <w:t>bservation 1:</w:t>
      </w:r>
      <w:r w:rsidRPr="00E01829">
        <w:rPr>
          <w:lang w:val="sv-SE" w:eastAsia="zh-CN"/>
        </w:rPr>
        <w:t xml:space="preserve"> From collected co-ex study results, </w:t>
      </w:r>
      <w:r>
        <w:rPr>
          <w:lang w:val="sv-SE" w:eastAsia="zh-CN"/>
        </w:rPr>
        <w:t>2</w:t>
      </w:r>
      <w:r w:rsidRPr="00E01829">
        <w:rPr>
          <w:lang w:val="sv-SE" w:eastAsia="zh-CN"/>
        </w:rPr>
        <w:t xml:space="preserve">0dBc ACLR seems sufficient for PC2 </w:t>
      </w:r>
      <w:r>
        <w:rPr>
          <w:lang w:val="sv-SE" w:eastAsia="zh-CN"/>
        </w:rPr>
        <w:t>with baseline</w:t>
      </w:r>
      <w:r w:rsidRPr="00E01829">
        <w:rPr>
          <w:lang w:val="sv-SE" w:eastAsia="zh-CN"/>
        </w:rPr>
        <w:t xml:space="preserve"> isolation distance</w:t>
      </w:r>
      <w:r>
        <w:rPr>
          <w:lang w:val="sv-SE" w:eastAsia="zh-CN"/>
        </w:rPr>
        <w:t xml:space="preserve"> as 1.5km</w:t>
      </w:r>
      <w:r w:rsidRPr="00E01829">
        <w:rPr>
          <w:lang w:val="sv-SE" w:eastAsia="zh-CN"/>
        </w:rPr>
        <w:t xml:space="preserve">. This observation may </w:t>
      </w:r>
      <w:r>
        <w:rPr>
          <w:lang w:val="sv-SE" w:eastAsia="zh-CN"/>
        </w:rPr>
        <w:t>need update</w:t>
      </w:r>
      <w:r w:rsidRPr="00E01829">
        <w:rPr>
          <w:lang w:val="sv-SE" w:eastAsia="zh-CN"/>
        </w:rPr>
        <w:t xml:space="preserve"> with </w:t>
      </w:r>
      <w:r>
        <w:rPr>
          <w:lang w:val="sv-SE" w:eastAsia="zh-CN"/>
        </w:rPr>
        <w:t>newly submitted</w:t>
      </w:r>
      <w:r w:rsidRPr="00E01829">
        <w:rPr>
          <w:lang w:val="sv-SE" w:eastAsia="zh-CN"/>
        </w:rPr>
        <w:t xml:space="preserve"> </w:t>
      </w:r>
      <w:r>
        <w:rPr>
          <w:lang w:val="sv-SE" w:eastAsia="zh-CN"/>
        </w:rPr>
        <w:t xml:space="preserve">co-ex </w:t>
      </w:r>
      <w:r w:rsidRPr="00E01829">
        <w:rPr>
          <w:lang w:val="sv-SE" w:eastAsia="zh-CN"/>
        </w:rPr>
        <w:t>results</w:t>
      </w:r>
      <w:r>
        <w:rPr>
          <w:lang w:val="sv-SE" w:eastAsia="zh-CN"/>
        </w:rPr>
        <w:t xml:space="preserve"> in this #113 meeting</w:t>
      </w:r>
      <w:r w:rsidRPr="00E01829">
        <w:rPr>
          <w:lang w:val="sv-SE" w:eastAsia="zh-CN"/>
        </w:rPr>
        <w:t>.</w:t>
      </w:r>
    </w:p>
    <w:p w14:paraId="56DF3136" w14:textId="2F7C6863" w:rsidR="009A62C0" w:rsidRDefault="00E01829" w:rsidP="00CD3B34">
      <w:pPr>
        <w:rPr>
          <w:lang w:val="sv-SE" w:eastAsia="zh-CN"/>
        </w:rPr>
      </w:pPr>
      <w:r>
        <w:rPr>
          <w:b/>
          <w:lang w:val="sv-SE" w:eastAsia="zh-CN"/>
        </w:rPr>
        <w:t>Observation</w:t>
      </w:r>
      <w:r w:rsidR="009A62C0" w:rsidRPr="009A62C0">
        <w:rPr>
          <w:b/>
          <w:lang w:val="sv-SE" w:eastAsia="zh-CN"/>
        </w:rPr>
        <w:t xml:space="preserve"> </w:t>
      </w:r>
      <w:r>
        <w:rPr>
          <w:b/>
          <w:lang w:val="sv-SE" w:eastAsia="zh-CN"/>
        </w:rPr>
        <w:t>2</w:t>
      </w:r>
      <w:r w:rsidR="009A62C0" w:rsidRPr="009A62C0">
        <w:rPr>
          <w:b/>
          <w:lang w:val="sv-SE" w:eastAsia="zh-CN"/>
        </w:rPr>
        <w:t xml:space="preserve">: </w:t>
      </w:r>
      <w:r w:rsidR="009A62C0" w:rsidRPr="00E01829">
        <w:rPr>
          <w:lang w:val="sv-SE" w:eastAsia="zh-CN"/>
        </w:rPr>
        <w:t xml:space="preserve">From collected co-ex study results, </w:t>
      </w:r>
      <w:r w:rsidRPr="00E01829">
        <w:rPr>
          <w:lang w:val="sv-SE" w:eastAsia="zh-CN"/>
        </w:rPr>
        <w:t>30dBc ACLR seems sufficient for PC2 even without isolation distance</w:t>
      </w:r>
      <w:r w:rsidR="009A62C0" w:rsidRPr="00E01829">
        <w:rPr>
          <w:lang w:val="sv-SE" w:eastAsia="zh-CN"/>
        </w:rPr>
        <w:t>.</w:t>
      </w:r>
      <w:r w:rsidRPr="00E01829">
        <w:rPr>
          <w:lang w:val="sv-SE" w:eastAsia="zh-CN"/>
        </w:rPr>
        <w:t xml:space="preserve"> This observation may </w:t>
      </w:r>
      <w:r>
        <w:rPr>
          <w:lang w:val="sv-SE" w:eastAsia="zh-CN"/>
        </w:rPr>
        <w:t>need update</w:t>
      </w:r>
      <w:r w:rsidRPr="00E01829">
        <w:rPr>
          <w:lang w:val="sv-SE" w:eastAsia="zh-CN"/>
        </w:rPr>
        <w:t xml:space="preserve"> with </w:t>
      </w:r>
      <w:r>
        <w:rPr>
          <w:lang w:val="sv-SE" w:eastAsia="zh-CN"/>
        </w:rPr>
        <w:t>newly submitted</w:t>
      </w:r>
      <w:r w:rsidRPr="00E01829">
        <w:rPr>
          <w:lang w:val="sv-SE" w:eastAsia="zh-CN"/>
        </w:rPr>
        <w:t xml:space="preserve"> </w:t>
      </w:r>
      <w:r>
        <w:rPr>
          <w:lang w:val="sv-SE" w:eastAsia="zh-CN"/>
        </w:rPr>
        <w:t xml:space="preserve">co-ex </w:t>
      </w:r>
      <w:r w:rsidRPr="00E01829">
        <w:rPr>
          <w:lang w:val="sv-SE" w:eastAsia="zh-CN"/>
        </w:rPr>
        <w:t>results</w:t>
      </w:r>
      <w:r>
        <w:rPr>
          <w:lang w:val="sv-SE" w:eastAsia="zh-CN"/>
        </w:rPr>
        <w:t xml:space="preserve"> in this #113 meeting</w:t>
      </w:r>
      <w:r w:rsidRPr="00E01829">
        <w:rPr>
          <w:lang w:val="sv-SE" w:eastAsia="zh-CN"/>
        </w:rPr>
        <w:t>.</w:t>
      </w:r>
    </w:p>
    <w:p w14:paraId="271E9EE0" w14:textId="496706E2" w:rsidR="00E01829" w:rsidRPr="009A62C0" w:rsidRDefault="00E01829" w:rsidP="00CD3B34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1: </w:t>
      </w:r>
      <w:r w:rsidR="000F0F24">
        <w:rPr>
          <w:b/>
          <w:lang w:val="sv-SE" w:eastAsia="zh-CN"/>
        </w:rPr>
        <w:t>For PC2, c</w:t>
      </w:r>
      <w:r>
        <w:rPr>
          <w:b/>
          <w:lang w:val="sv-SE" w:eastAsia="zh-CN"/>
        </w:rPr>
        <w:t xml:space="preserve">o-ex result supports ACLR to be </w:t>
      </w:r>
      <w:r w:rsidR="00563856">
        <w:rPr>
          <w:b/>
          <w:lang w:val="sv-SE" w:eastAsia="zh-CN"/>
        </w:rPr>
        <w:t xml:space="preserve">further </w:t>
      </w:r>
      <w:r>
        <w:rPr>
          <w:b/>
          <w:lang w:val="sv-SE" w:eastAsia="zh-CN"/>
        </w:rPr>
        <w:t>relax to 20dBc if baseline isolation distance of 1.5km is considered.</w:t>
      </w:r>
    </w:p>
    <w:bookmarkEnd w:id="1"/>
    <w:bookmarkEnd w:id="2"/>
    <w:p w14:paraId="13C8DDA4" w14:textId="6D0AEDFE" w:rsidR="008E0905" w:rsidRPr="00563856" w:rsidRDefault="008E0905" w:rsidP="00EF3EFD">
      <w:pPr>
        <w:rPr>
          <w:lang w:val="sv-SE" w:eastAsia="zh-CN"/>
        </w:rPr>
      </w:pPr>
    </w:p>
    <w:p w14:paraId="575919BD" w14:textId="5FB04615" w:rsidR="009A62C0" w:rsidRDefault="009A62C0" w:rsidP="00EF3EF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nd considering the concerns raised in last me</w:t>
      </w:r>
      <w:r w:rsidR="00CB0242">
        <w:rPr>
          <w:lang w:val="en-US" w:eastAsia="zh-CN"/>
        </w:rPr>
        <w:t xml:space="preserve">eting addressed in WF[1] was about whether the derived ACLR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242" w14:paraId="41267053" w14:textId="77777777" w:rsidTr="00CB0242">
        <w:tc>
          <w:tcPr>
            <w:tcW w:w="9629" w:type="dxa"/>
          </w:tcPr>
          <w:p w14:paraId="64E2BD2A" w14:textId="77777777" w:rsidR="00CB0242" w:rsidRPr="008837ED" w:rsidRDefault="00CB0242" w:rsidP="00CB0242">
            <w:pPr>
              <w:rPr>
                <w:b/>
                <w:u w:val="single"/>
              </w:rPr>
            </w:pPr>
            <w:r w:rsidRPr="008837ED">
              <w:rPr>
                <w:b/>
                <w:u w:val="single"/>
              </w:rPr>
              <w:t>Issue 2-5: ACLR</w:t>
            </w:r>
          </w:p>
          <w:p w14:paraId="697FEF4A" w14:textId="77777777" w:rsidR="00CB0242" w:rsidRPr="008837ED" w:rsidRDefault="00CB0242" w:rsidP="00CB0242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8837ED">
              <w:rPr>
                <w:b/>
                <w:bCs/>
                <w:iCs/>
                <w:lang w:eastAsia="zh-CN"/>
              </w:rPr>
              <w:t>greement:</w:t>
            </w:r>
          </w:p>
          <w:p w14:paraId="6C0BCD76" w14:textId="77777777" w:rsidR="00CB0242" w:rsidRPr="008837ED" w:rsidRDefault="00CB0242" w:rsidP="00CB0242">
            <w:pPr>
              <w:pStyle w:val="a6"/>
              <w:widowControl/>
              <w:numPr>
                <w:ilvl w:val="0"/>
                <w:numId w:val="49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</w:pPr>
            <w:r w:rsidRPr="008837ED">
              <w:t>Co-existence study results and conclusion is an important factor for deriving out-band emission requirements</w:t>
            </w:r>
          </w:p>
          <w:p w14:paraId="20964D76" w14:textId="2D54543B" w:rsidR="00CB0242" w:rsidRPr="00CB0242" w:rsidRDefault="00CB0242" w:rsidP="00EF3EFD">
            <w:pPr>
              <w:pStyle w:val="a6"/>
              <w:widowControl/>
              <w:numPr>
                <w:ilvl w:val="1"/>
                <w:numId w:val="48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iCs/>
              </w:rPr>
            </w:pPr>
            <w:r w:rsidRPr="008837ED">
              <w:rPr>
                <w:rFonts w:eastAsiaTheme="minorEastAsia"/>
                <w:iCs/>
              </w:rPr>
              <w:t>Check the derived ACLR for A-MPR and additional spurious emission against regulatory information.</w:t>
            </w:r>
          </w:p>
        </w:tc>
      </w:tr>
    </w:tbl>
    <w:p w14:paraId="535D3A89" w14:textId="6CA7FBE6" w:rsidR="009A62C0" w:rsidRDefault="009A62C0" w:rsidP="00EF3EFD">
      <w:pPr>
        <w:rPr>
          <w:lang w:val="en-US" w:eastAsia="zh-CN"/>
        </w:rPr>
      </w:pPr>
    </w:p>
    <w:p w14:paraId="03779A79" w14:textId="07B72BD5" w:rsidR="000F0F24" w:rsidRDefault="000F0F24" w:rsidP="00EF3EFD">
      <w:pPr>
        <w:rPr>
          <w:lang w:val="en-US" w:eastAsia="zh-CN"/>
        </w:rPr>
      </w:pPr>
      <w:r w:rsidRPr="000F0F24">
        <w:rPr>
          <w:rFonts w:hint="eastAsia"/>
          <w:b/>
          <w:lang w:val="en-US" w:eastAsia="zh-CN"/>
        </w:rPr>
        <w:lastRenderedPageBreak/>
        <w:t>O</w:t>
      </w:r>
      <w:r w:rsidRPr="000F0F24">
        <w:rPr>
          <w:b/>
          <w:lang w:val="en-US" w:eastAsia="zh-CN"/>
        </w:rPr>
        <w:t>bservation 3</w:t>
      </w:r>
      <w:r>
        <w:rPr>
          <w:lang w:val="en-US" w:eastAsia="zh-CN"/>
        </w:rPr>
        <w:t>: Given the WF is to cross check the A-MPR and additional spurious emission requirements with the potential ACLR concluded from co-ex studies, it can be helpful to check the candidate ACLR from 20 ~ 30 dBc for PC2.</w:t>
      </w:r>
    </w:p>
    <w:p w14:paraId="3A04D712" w14:textId="55588639" w:rsidR="00CB0242" w:rsidRDefault="00CB0242" w:rsidP="00EF3EFD">
      <w:pPr>
        <w:rPr>
          <w:lang w:val="en-US" w:eastAsia="zh-CN"/>
        </w:rPr>
      </w:pPr>
    </w:p>
    <w:p w14:paraId="402208E1" w14:textId="11ED8DA3" w:rsidR="000C162D" w:rsidRDefault="000C162D" w:rsidP="00EF3EF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nd the MPR, AMPR requirements are listed in the open issues pending for the decisions from co-ex study conclusion.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162D" w14:paraId="168E9009" w14:textId="77777777" w:rsidTr="000C162D">
        <w:tc>
          <w:tcPr>
            <w:tcW w:w="9629" w:type="dxa"/>
          </w:tcPr>
          <w:p w14:paraId="76385A7F" w14:textId="77777777" w:rsidR="000C162D" w:rsidRPr="008837ED" w:rsidRDefault="000C162D" w:rsidP="000C162D">
            <w:pPr>
              <w:pStyle w:val="1"/>
              <w:rPr>
                <w:lang w:eastAsia="zh-CN"/>
              </w:rPr>
            </w:pPr>
            <w:r w:rsidRPr="008837ED">
              <w:lastRenderedPageBreak/>
              <w:t>Open issues</w:t>
            </w:r>
          </w:p>
          <w:p w14:paraId="6AF4A0F0" w14:textId="77777777" w:rsidR="000C162D" w:rsidRPr="008837ED" w:rsidRDefault="000C162D" w:rsidP="000C162D">
            <w:pPr>
              <w:rPr>
                <w:b/>
                <w:u w:val="single"/>
                <w:lang w:eastAsia="ko-KR"/>
              </w:rPr>
            </w:pPr>
            <w:r w:rsidRPr="008837ED">
              <w:rPr>
                <w:b/>
                <w:u w:val="single"/>
                <w:lang w:eastAsia="ko-KR"/>
              </w:rPr>
              <w:t>Issue 2-6: MPR</w:t>
            </w:r>
          </w:p>
          <w:p w14:paraId="45CEF91E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1: RAN4 to consider applicable regulatory requirements in ECC/CEPT in MPR and A-MPR evaluations. (Qualcomm)</w:t>
            </w:r>
          </w:p>
          <w:p w14:paraId="3037DD53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2: Reusing NR-NTN PC3 MPR values (both single Tx and Tx diversity) for PC2 MPR as starting point (Mediatek, Samsung)</w:t>
            </w:r>
          </w:p>
          <w:p w14:paraId="6A32826E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3: MPR for NTN HPUE should be further evaluated according to the agreed ACLR value, PA model and other limiting factor for MPR evaluation. (ZTE)</w:t>
            </w:r>
          </w:p>
          <w:p w14:paraId="2EC2A887" w14:textId="77777777" w:rsidR="000C162D" w:rsidRPr="008837ED" w:rsidRDefault="000C162D" w:rsidP="000C162D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b/>
                <w:bCs/>
                <w:iCs/>
                <w:lang w:eastAsia="zh-CN"/>
              </w:rPr>
              <w:t>Way forward:</w:t>
            </w:r>
          </w:p>
          <w:p w14:paraId="7CC81277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Further discuss with ACLR candidate values, following agreement and above options.</w:t>
            </w:r>
          </w:p>
          <w:tbl>
            <w:tblPr>
              <w:tblStyle w:val="a5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683"/>
            </w:tblGrid>
            <w:tr w:rsidR="000C162D" w:rsidRPr="008837ED" w14:paraId="697998D0" w14:textId="77777777" w:rsidTr="000C2F2F">
              <w:tc>
                <w:tcPr>
                  <w:tcW w:w="10457" w:type="dxa"/>
                </w:tcPr>
                <w:p w14:paraId="22794DC0" w14:textId="77777777" w:rsidR="000C162D" w:rsidRPr="008837ED" w:rsidRDefault="000C162D" w:rsidP="000C162D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 xml:space="preserve">Issue 3-3-2: </w:t>
                  </w:r>
                  <w:r w:rsidRPr="008837ED">
                    <w:rPr>
                      <w:b/>
                      <w:u w:val="single"/>
                      <w:lang w:eastAsia="zh-CN"/>
                    </w:rPr>
                    <w:t>MPR</w:t>
                  </w:r>
                </w:p>
                <w:p w14:paraId="22A89598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0"/>
                      <w:numId w:val="1"/>
                    </w:numPr>
                    <w:spacing w:before="0" w:after="120" w:line="240" w:lineRule="auto"/>
                    <w:ind w:left="720" w:firstLineChars="0"/>
                    <w:jc w:val="left"/>
                    <w:rPr>
                      <w:b/>
                    </w:rPr>
                  </w:pPr>
                  <w:r w:rsidRPr="008837ED">
                    <w:rPr>
                      <w:rFonts w:hint="eastAsia"/>
                      <w:b/>
                    </w:rPr>
                    <w:t>A</w:t>
                  </w:r>
                  <w:r w:rsidRPr="008837ED">
                    <w:rPr>
                      <w:b/>
                    </w:rPr>
                    <w:t>greement:</w:t>
                  </w:r>
                </w:p>
                <w:p w14:paraId="387FAFB3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1"/>
                      <w:numId w:val="1"/>
                    </w:numPr>
                    <w:spacing w:before="0" w:after="120" w:line="240" w:lineRule="auto"/>
                    <w:ind w:left="1440" w:firstLineChars="0"/>
                    <w:jc w:val="left"/>
                  </w:pPr>
                  <w:r w:rsidRPr="008837ED">
                    <w:t>FFS the MPR requirements. Following potential factors to be further discussed:</w:t>
                  </w:r>
                </w:p>
                <w:p w14:paraId="15844ACF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rPr>
                      <w:rFonts w:hint="eastAsia"/>
                    </w:rPr>
                    <w:t>A</w:t>
                  </w:r>
                  <w:r w:rsidRPr="008837ED">
                    <w:t>CLR from co-existence study</w:t>
                  </w:r>
                </w:p>
                <w:p w14:paraId="0F36A671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>Current TN MPR requirements</w:t>
                  </w:r>
                </w:p>
                <w:p w14:paraId="3E9BFC37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 xml:space="preserve">MPR simulation assumptions </w:t>
                  </w:r>
                </w:p>
                <w:p w14:paraId="0127A88B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>Other factors not precluded if identified.</w:t>
                  </w:r>
                </w:p>
              </w:tc>
            </w:tr>
          </w:tbl>
          <w:p w14:paraId="78E845DE" w14:textId="77777777" w:rsidR="000C162D" w:rsidRPr="008837ED" w:rsidRDefault="000C162D" w:rsidP="000C162D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</w:p>
          <w:p w14:paraId="01CD46F2" w14:textId="77777777" w:rsidR="000C162D" w:rsidRPr="008837ED" w:rsidRDefault="000C162D" w:rsidP="000C162D">
            <w:pPr>
              <w:rPr>
                <w:b/>
                <w:u w:val="single"/>
                <w:lang w:eastAsia="ko-KR"/>
              </w:rPr>
            </w:pPr>
            <w:r w:rsidRPr="008837ED">
              <w:rPr>
                <w:b/>
                <w:u w:val="single"/>
                <w:lang w:eastAsia="ko-KR"/>
              </w:rPr>
              <w:t>Issue 2-7: A-MPR</w:t>
            </w:r>
          </w:p>
          <w:p w14:paraId="3B27579B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1: RAN4 to consider applicable regulatory requirements in ECC/CEPT in MPR and A-MPR evaluations. (Qualcomm)</w:t>
            </w:r>
          </w:p>
          <w:p w14:paraId="6F5896CC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2: To reduce number of power back-off simulations for the FR1 satellite bands, we suggest not considering scenarios/combinations that are not expected for the satellite bands: large RB allocations, CP-OFDM, higher-order modulations. (Apple)</w:t>
            </w:r>
          </w:p>
          <w:p w14:paraId="349DF783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Option 3: Regarding the A-MPR requirements, once HPUE e.g. PC2/PC1.5or PC1 are supported in any specific bands, then the A-MPR requirement should be revisited again to identify the appropriate the A-MPR requirements. (ZTE)</w:t>
            </w:r>
          </w:p>
          <w:p w14:paraId="2B2D298B" w14:textId="77777777" w:rsidR="000C162D" w:rsidRPr="008837ED" w:rsidRDefault="000C162D" w:rsidP="000C162D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b/>
                <w:bCs/>
                <w:iCs/>
                <w:lang w:eastAsia="zh-CN"/>
              </w:rPr>
              <w:t>Way forward:</w:t>
            </w:r>
          </w:p>
          <w:p w14:paraId="7E9F81E0" w14:textId="77777777" w:rsidR="000C162D" w:rsidRPr="008837ED" w:rsidRDefault="000C162D" w:rsidP="000C162D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080" w:firstLineChars="0"/>
              <w:jc w:val="left"/>
            </w:pPr>
            <w:r w:rsidRPr="008837ED">
              <w:t>Further discuss with following agreement and above options.</w:t>
            </w:r>
          </w:p>
          <w:tbl>
            <w:tblPr>
              <w:tblStyle w:val="a5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7963"/>
            </w:tblGrid>
            <w:tr w:rsidR="000C162D" w:rsidRPr="008837ED" w14:paraId="6B59BF30" w14:textId="77777777" w:rsidTr="000C2F2F">
              <w:tc>
                <w:tcPr>
                  <w:tcW w:w="10457" w:type="dxa"/>
                </w:tcPr>
                <w:p w14:paraId="48465A0C" w14:textId="77777777" w:rsidR="000C162D" w:rsidRPr="008837ED" w:rsidRDefault="000C162D" w:rsidP="000C162D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 xml:space="preserve">Issue 3-3-3: </w:t>
                  </w:r>
                  <w:r w:rsidRPr="008837ED">
                    <w:rPr>
                      <w:b/>
                      <w:u w:val="single"/>
                      <w:lang w:eastAsia="zh-CN"/>
                    </w:rPr>
                    <w:t>A-MPR</w:t>
                  </w:r>
                </w:p>
                <w:p w14:paraId="4DF958F2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0"/>
                      <w:numId w:val="1"/>
                    </w:numPr>
                    <w:spacing w:before="0" w:after="120" w:line="240" w:lineRule="auto"/>
                    <w:ind w:left="720" w:firstLineChars="0"/>
                    <w:jc w:val="left"/>
                    <w:rPr>
                      <w:b/>
                    </w:rPr>
                  </w:pPr>
                  <w:r w:rsidRPr="008837ED">
                    <w:rPr>
                      <w:b/>
                    </w:rPr>
                    <w:t>Agreement</w:t>
                  </w:r>
                </w:p>
                <w:p w14:paraId="71D62CE7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1"/>
                      <w:numId w:val="1"/>
                    </w:numPr>
                    <w:spacing w:before="0" w:after="120" w:line="240" w:lineRule="auto"/>
                    <w:ind w:left="1440" w:firstLineChars="0"/>
                    <w:jc w:val="left"/>
                  </w:pPr>
                  <w:r w:rsidRPr="008837ED">
                    <w:t>FFS A-MPR requirements. Following potential factors to be further discussed:</w:t>
                  </w:r>
                </w:p>
                <w:p w14:paraId="408596D3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rPr>
                      <w:rFonts w:hint="eastAsia"/>
                    </w:rPr>
                    <w:t>S</w:t>
                  </w:r>
                  <w:r w:rsidRPr="008837ED">
                    <w:t>imulation reduction by not considering large RB allocations, CP-OFDM, higher-order modulations</w:t>
                  </w:r>
                </w:p>
                <w:p w14:paraId="5FF7EEB2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>A-MPR simulation assumption including ACLR from co-existence study</w:t>
                  </w:r>
                </w:p>
                <w:p w14:paraId="458D1EE5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>Applicable bands</w:t>
                  </w:r>
                </w:p>
                <w:p w14:paraId="51E7172C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rPr>
                      <w:rFonts w:hint="eastAsia"/>
                    </w:rPr>
                    <w:t>R</w:t>
                  </w:r>
                  <w:r w:rsidRPr="008837ED">
                    <w:t>egional requirements for A-MPR</w:t>
                  </w:r>
                </w:p>
                <w:p w14:paraId="2970E6FA" w14:textId="77777777" w:rsidR="000C162D" w:rsidRPr="008837ED" w:rsidRDefault="000C162D" w:rsidP="000C162D">
                  <w:pPr>
                    <w:pStyle w:val="a6"/>
                    <w:widowControl/>
                    <w:numPr>
                      <w:ilvl w:val="2"/>
                      <w:numId w:val="1"/>
                    </w:numPr>
                    <w:spacing w:before="0" w:after="120" w:line="240" w:lineRule="auto"/>
                    <w:ind w:left="2376" w:firstLineChars="0"/>
                    <w:jc w:val="left"/>
                  </w:pPr>
                  <w:r w:rsidRPr="008837ED">
                    <w:t>Other factors</w:t>
                  </w:r>
                </w:p>
              </w:tc>
            </w:tr>
          </w:tbl>
          <w:p w14:paraId="0B6E03A5" w14:textId="77777777" w:rsidR="000C162D" w:rsidRDefault="000C162D" w:rsidP="00EF3EFD">
            <w:pPr>
              <w:rPr>
                <w:lang w:val="en-US" w:eastAsia="zh-CN"/>
              </w:rPr>
            </w:pPr>
          </w:p>
        </w:tc>
      </w:tr>
    </w:tbl>
    <w:p w14:paraId="17ECA5F9" w14:textId="3C9B0941" w:rsidR="000F0F24" w:rsidRDefault="000F0F24" w:rsidP="00EF3EFD">
      <w:pPr>
        <w:rPr>
          <w:lang w:val="en-US" w:eastAsia="zh-CN"/>
        </w:rPr>
      </w:pPr>
    </w:p>
    <w:p w14:paraId="22BECA8C" w14:textId="69E71446" w:rsidR="000C162D" w:rsidRDefault="000C162D" w:rsidP="00EF3EF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E</w:t>
      </w:r>
      <w:r>
        <w:rPr>
          <w:lang w:val="en-US" w:eastAsia="zh-CN"/>
        </w:rPr>
        <w:t>ven though the A-MPR, MPR simulation assumptions include ACLR, which was usually an output from co-ex studies, the previous WF had provided 30 dBc as a temporary observations and can be used to conduct simulations in parallel together with the co-ex study discussion.</w:t>
      </w:r>
    </w:p>
    <w:p w14:paraId="21DB4EA8" w14:textId="50E5BBB9" w:rsidR="000C162D" w:rsidRDefault="000C162D" w:rsidP="00EF3EFD">
      <w:pPr>
        <w:rPr>
          <w:lang w:val="en-US" w:eastAsia="zh-CN"/>
        </w:rPr>
      </w:pPr>
      <w:r w:rsidRPr="000C162D">
        <w:rPr>
          <w:rFonts w:hint="eastAsia"/>
          <w:b/>
          <w:lang w:val="en-US" w:eastAsia="zh-CN"/>
        </w:rPr>
        <w:t>O</w:t>
      </w:r>
      <w:r w:rsidRPr="000C162D">
        <w:rPr>
          <w:b/>
          <w:lang w:val="en-US" w:eastAsia="zh-CN"/>
        </w:rPr>
        <w:t>bservation 4</w:t>
      </w:r>
      <w:r>
        <w:rPr>
          <w:lang w:val="en-US" w:eastAsia="zh-CN"/>
        </w:rPr>
        <w:t>: Given the ACLR was agreed to also consider the A-MPR, additional spurious emission impacts, to avoid two issues become chicken-egg dead-end, we suggest to do the A-MPR and MPR simulation with ACLR assumed as 30 dBc or lower values in parallel with the co-ex conclusion discussions.</w:t>
      </w:r>
    </w:p>
    <w:p w14:paraId="4F18A153" w14:textId="665BA9C0" w:rsidR="009F473E" w:rsidRPr="00790A07" w:rsidRDefault="002C78DC" w:rsidP="009F473E">
      <w:pPr>
        <w:pStyle w:val="1"/>
      </w:pPr>
      <w:r>
        <w:t>3</w:t>
      </w:r>
      <w:r w:rsidR="009F473E" w:rsidRPr="00790A07">
        <w:tab/>
      </w:r>
      <w:r w:rsidR="000C162D">
        <w:t>SAR for handheld</w:t>
      </w:r>
    </w:p>
    <w:p w14:paraId="48D609D6" w14:textId="2391D756" w:rsidR="00534556" w:rsidRPr="00FB4EC2" w:rsidRDefault="00FB4EC2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G</w:t>
      </w:r>
      <w:r>
        <w:rPr>
          <w:lang w:val="sv-SE" w:eastAsia="zh-CN"/>
        </w:rPr>
        <w:t xml:space="preserve">iven the </w:t>
      </w:r>
      <w:r>
        <w:rPr>
          <w:rFonts w:hint="eastAsia"/>
          <w:lang w:val="sv-SE" w:eastAsia="zh-CN"/>
        </w:rPr>
        <w:t>S</w:t>
      </w:r>
      <w:r>
        <w:rPr>
          <w:lang w:val="sv-SE" w:eastAsia="zh-CN"/>
        </w:rPr>
        <w:t>AR issue seems to be identical for both NR-NTN and IoT NTN handheld devices, we provide our SAR discussions in another paper in IoT-NTN Tx requirement agenda.</w:t>
      </w:r>
    </w:p>
    <w:p w14:paraId="08857DE8" w14:textId="4425384C" w:rsidR="009B1101" w:rsidRPr="00D64FA5" w:rsidRDefault="00FB4EC2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3F4A857C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>
        <w:rPr>
          <w:lang w:eastAsia="zh-CN"/>
        </w:rPr>
        <w:t xml:space="preserve">NTN HPUE </w:t>
      </w:r>
      <w:r w:rsidR="00FB4EC2">
        <w:rPr>
          <w:lang w:eastAsia="zh-CN"/>
        </w:rPr>
        <w:t>Tx requirement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28EFBA6B" w14:textId="77777777" w:rsidR="00FB4EC2" w:rsidRDefault="00FB4EC2" w:rsidP="00FB4EC2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O</w:t>
      </w:r>
      <w:r>
        <w:rPr>
          <w:b/>
          <w:lang w:val="sv-SE" w:eastAsia="zh-CN"/>
        </w:rPr>
        <w:t>bservation 1:</w:t>
      </w:r>
      <w:r w:rsidRPr="00E01829">
        <w:rPr>
          <w:lang w:val="sv-SE" w:eastAsia="zh-CN"/>
        </w:rPr>
        <w:t xml:space="preserve"> From collected co-ex study results, </w:t>
      </w:r>
      <w:r>
        <w:rPr>
          <w:lang w:val="sv-SE" w:eastAsia="zh-CN"/>
        </w:rPr>
        <w:t>2</w:t>
      </w:r>
      <w:r w:rsidRPr="00E01829">
        <w:rPr>
          <w:lang w:val="sv-SE" w:eastAsia="zh-CN"/>
        </w:rPr>
        <w:t xml:space="preserve">0dBc ACLR seems sufficient for PC2 </w:t>
      </w:r>
      <w:r>
        <w:rPr>
          <w:lang w:val="sv-SE" w:eastAsia="zh-CN"/>
        </w:rPr>
        <w:t>with baseline</w:t>
      </w:r>
      <w:r w:rsidRPr="00E01829">
        <w:rPr>
          <w:lang w:val="sv-SE" w:eastAsia="zh-CN"/>
        </w:rPr>
        <w:t xml:space="preserve"> isolation distance</w:t>
      </w:r>
      <w:r>
        <w:rPr>
          <w:lang w:val="sv-SE" w:eastAsia="zh-CN"/>
        </w:rPr>
        <w:t xml:space="preserve"> as 1.5km</w:t>
      </w:r>
      <w:r w:rsidRPr="00E01829">
        <w:rPr>
          <w:lang w:val="sv-SE" w:eastAsia="zh-CN"/>
        </w:rPr>
        <w:t xml:space="preserve">. This observation may </w:t>
      </w:r>
      <w:r>
        <w:rPr>
          <w:lang w:val="sv-SE" w:eastAsia="zh-CN"/>
        </w:rPr>
        <w:t>need update</w:t>
      </w:r>
      <w:r w:rsidRPr="00E01829">
        <w:rPr>
          <w:lang w:val="sv-SE" w:eastAsia="zh-CN"/>
        </w:rPr>
        <w:t xml:space="preserve"> with </w:t>
      </w:r>
      <w:r>
        <w:rPr>
          <w:lang w:val="sv-SE" w:eastAsia="zh-CN"/>
        </w:rPr>
        <w:t>newly submitted</w:t>
      </w:r>
      <w:r w:rsidRPr="00E01829">
        <w:rPr>
          <w:lang w:val="sv-SE" w:eastAsia="zh-CN"/>
        </w:rPr>
        <w:t xml:space="preserve"> </w:t>
      </w:r>
      <w:r>
        <w:rPr>
          <w:lang w:val="sv-SE" w:eastAsia="zh-CN"/>
        </w:rPr>
        <w:t xml:space="preserve">co-ex </w:t>
      </w:r>
      <w:r w:rsidRPr="00E01829">
        <w:rPr>
          <w:lang w:val="sv-SE" w:eastAsia="zh-CN"/>
        </w:rPr>
        <w:t>results</w:t>
      </w:r>
      <w:r>
        <w:rPr>
          <w:lang w:val="sv-SE" w:eastAsia="zh-CN"/>
        </w:rPr>
        <w:t xml:space="preserve"> in this #113 meeting</w:t>
      </w:r>
      <w:r w:rsidRPr="00E01829">
        <w:rPr>
          <w:lang w:val="sv-SE" w:eastAsia="zh-CN"/>
        </w:rPr>
        <w:t>.</w:t>
      </w:r>
    </w:p>
    <w:p w14:paraId="0FCF6295" w14:textId="77777777" w:rsidR="00FB4EC2" w:rsidRDefault="00FB4EC2" w:rsidP="00FB4EC2">
      <w:pPr>
        <w:rPr>
          <w:lang w:val="sv-SE" w:eastAsia="zh-CN"/>
        </w:rPr>
      </w:pPr>
      <w:r>
        <w:rPr>
          <w:b/>
          <w:lang w:val="sv-SE" w:eastAsia="zh-CN"/>
        </w:rPr>
        <w:t>Observation</w:t>
      </w:r>
      <w:r w:rsidRPr="009A62C0">
        <w:rPr>
          <w:b/>
          <w:lang w:val="sv-SE" w:eastAsia="zh-CN"/>
        </w:rPr>
        <w:t xml:space="preserve"> </w:t>
      </w:r>
      <w:r>
        <w:rPr>
          <w:b/>
          <w:lang w:val="sv-SE" w:eastAsia="zh-CN"/>
        </w:rPr>
        <w:t>2</w:t>
      </w:r>
      <w:r w:rsidRPr="009A62C0">
        <w:rPr>
          <w:b/>
          <w:lang w:val="sv-SE" w:eastAsia="zh-CN"/>
        </w:rPr>
        <w:t xml:space="preserve">: </w:t>
      </w:r>
      <w:r w:rsidRPr="00E01829">
        <w:rPr>
          <w:lang w:val="sv-SE" w:eastAsia="zh-CN"/>
        </w:rPr>
        <w:t xml:space="preserve">From collected co-ex study results, 30dBc ACLR seems sufficient for PC2 even without isolation distance. This observation may </w:t>
      </w:r>
      <w:r>
        <w:rPr>
          <w:lang w:val="sv-SE" w:eastAsia="zh-CN"/>
        </w:rPr>
        <w:t>need update</w:t>
      </w:r>
      <w:r w:rsidRPr="00E01829">
        <w:rPr>
          <w:lang w:val="sv-SE" w:eastAsia="zh-CN"/>
        </w:rPr>
        <w:t xml:space="preserve"> with </w:t>
      </w:r>
      <w:r>
        <w:rPr>
          <w:lang w:val="sv-SE" w:eastAsia="zh-CN"/>
        </w:rPr>
        <w:t>newly submitted</w:t>
      </w:r>
      <w:r w:rsidRPr="00E01829">
        <w:rPr>
          <w:lang w:val="sv-SE" w:eastAsia="zh-CN"/>
        </w:rPr>
        <w:t xml:space="preserve"> </w:t>
      </w:r>
      <w:r>
        <w:rPr>
          <w:lang w:val="sv-SE" w:eastAsia="zh-CN"/>
        </w:rPr>
        <w:t xml:space="preserve">co-ex </w:t>
      </w:r>
      <w:r w:rsidRPr="00E01829">
        <w:rPr>
          <w:lang w:val="sv-SE" w:eastAsia="zh-CN"/>
        </w:rPr>
        <w:t>results</w:t>
      </w:r>
      <w:r>
        <w:rPr>
          <w:lang w:val="sv-SE" w:eastAsia="zh-CN"/>
        </w:rPr>
        <w:t xml:space="preserve"> in this #113 meeting</w:t>
      </w:r>
      <w:r w:rsidRPr="00E01829">
        <w:rPr>
          <w:lang w:val="sv-SE" w:eastAsia="zh-CN"/>
        </w:rPr>
        <w:t>.</w:t>
      </w:r>
    </w:p>
    <w:p w14:paraId="22059B17" w14:textId="77777777" w:rsidR="00FB4EC2" w:rsidRPr="009A62C0" w:rsidRDefault="00FB4EC2" w:rsidP="00FB4EC2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>roposal 1: For PC2, co-ex result supports ACLR to be further relax to 20dBc if baseline isolation distance of 1.5km is considered.</w:t>
      </w:r>
    </w:p>
    <w:p w14:paraId="4A5B3700" w14:textId="57FBD5EB" w:rsidR="009B1101" w:rsidRPr="00FB4EC2" w:rsidRDefault="009B1101" w:rsidP="009B1101">
      <w:pPr>
        <w:rPr>
          <w:b/>
          <w:lang w:val="sv-SE" w:eastAsia="zh-CN"/>
        </w:rPr>
      </w:pPr>
    </w:p>
    <w:p w14:paraId="5446E216" w14:textId="37277305" w:rsidR="00FB4EC2" w:rsidRDefault="00FB4EC2" w:rsidP="00FB4EC2">
      <w:pPr>
        <w:rPr>
          <w:lang w:val="en-US" w:eastAsia="zh-CN"/>
        </w:rPr>
      </w:pPr>
      <w:r w:rsidRPr="000F0F24">
        <w:rPr>
          <w:rFonts w:hint="eastAsia"/>
          <w:b/>
          <w:lang w:val="en-US" w:eastAsia="zh-CN"/>
        </w:rPr>
        <w:t>O</w:t>
      </w:r>
      <w:r w:rsidRPr="000F0F24">
        <w:rPr>
          <w:b/>
          <w:lang w:val="en-US" w:eastAsia="zh-CN"/>
        </w:rPr>
        <w:t>bservation 3</w:t>
      </w:r>
      <w:r>
        <w:rPr>
          <w:lang w:val="en-US" w:eastAsia="zh-CN"/>
        </w:rPr>
        <w:t>: Given the WF is to cross check the A-MPR and additional spurious emission requirements with the potential ACLR concluded from co-ex studies, it can be helpful to check the candidate ACLR from 20 ~ 30 dBc for PC2.</w:t>
      </w:r>
    </w:p>
    <w:p w14:paraId="7F745FAE" w14:textId="1E912C1E" w:rsidR="00FB4EC2" w:rsidRPr="00FB4EC2" w:rsidRDefault="00FB4EC2" w:rsidP="00FB4EC2">
      <w:pPr>
        <w:rPr>
          <w:lang w:val="en-US" w:eastAsia="zh-CN"/>
        </w:rPr>
      </w:pPr>
      <w:r w:rsidRPr="000C162D">
        <w:rPr>
          <w:rFonts w:hint="eastAsia"/>
          <w:b/>
          <w:lang w:val="en-US" w:eastAsia="zh-CN"/>
        </w:rPr>
        <w:t>O</w:t>
      </w:r>
      <w:r w:rsidRPr="000C162D">
        <w:rPr>
          <w:b/>
          <w:lang w:val="en-US" w:eastAsia="zh-CN"/>
        </w:rPr>
        <w:t>bservation 4</w:t>
      </w:r>
      <w:r>
        <w:rPr>
          <w:lang w:val="en-US" w:eastAsia="zh-CN"/>
        </w:rPr>
        <w:t>: Given the ACLR was agreed to also consider the A-MPR, additional spurious emission impacts, to avoid two issues become chicken-egg dead-end, we suggest to do the A-MPR and MPR simulation with ACLR assumed as 30 dBc or lower values in parallel with the co-ex conclusion discussions.</w:t>
      </w:r>
    </w:p>
    <w:p w14:paraId="15C90359" w14:textId="31A2A868" w:rsidR="009B1101" w:rsidRPr="0042663F" w:rsidRDefault="00FB4EC2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5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6EC6E11F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</w:t>
      </w:r>
      <w:r w:rsidR="009112D7">
        <w:rPr>
          <w:lang w:val="sv-SE" w:eastAsia="zh-CN"/>
        </w:rPr>
        <w:t>1</w:t>
      </w:r>
      <w:r w:rsidR="00481350">
        <w:rPr>
          <w:lang w:val="sv-SE" w:eastAsia="zh-CN"/>
        </w:rPr>
        <w:t>7122</w:t>
      </w:r>
      <w:r>
        <w:rPr>
          <w:lang w:val="sv-SE" w:eastAsia="zh-CN"/>
        </w:rPr>
        <w:t xml:space="preserve">, </w:t>
      </w:r>
      <w:r w:rsidR="00481350" w:rsidRPr="00481350">
        <w:rPr>
          <w:lang w:val="sv-SE" w:eastAsia="zh-CN"/>
        </w:rPr>
        <w:t>WF on co-existence study and HPUE for NR-NTN</w:t>
      </w:r>
      <w:r w:rsidR="00481350">
        <w:rPr>
          <w:lang w:val="sv-SE" w:eastAsia="zh-CN"/>
        </w:rPr>
        <w:t>, Samsung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95F0F" w14:textId="77777777" w:rsidR="005F1C1F" w:rsidRDefault="005F1C1F" w:rsidP="006165E1">
      <w:pPr>
        <w:spacing w:after="0"/>
      </w:pPr>
      <w:r>
        <w:separator/>
      </w:r>
    </w:p>
  </w:endnote>
  <w:endnote w:type="continuationSeparator" w:id="0">
    <w:p w14:paraId="3C1C11EA" w14:textId="77777777" w:rsidR="005F1C1F" w:rsidRDefault="005F1C1F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01614" w14:textId="77777777" w:rsidR="005F1C1F" w:rsidRDefault="005F1C1F" w:rsidP="006165E1">
      <w:pPr>
        <w:spacing w:after="0"/>
      </w:pPr>
      <w:r>
        <w:separator/>
      </w:r>
    </w:p>
  </w:footnote>
  <w:footnote w:type="continuationSeparator" w:id="0">
    <w:p w14:paraId="6260E2F5" w14:textId="77777777" w:rsidR="005F1C1F" w:rsidRDefault="005F1C1F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7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42"/>
  </w:num>
  <w:num w:numId="3">
    <w:abstractNumId w:val="0"/>
  </w:num>
  <w:num w:numId="4">
    <w:abstractNumId w:val="33"/>
  </w:num>
  <w:num w:numId="5">
    <w:abstractNumId w:val="31"/>
  </w:num>
  <w:num w:numId="6">
    <w:abstractNumId w:val="26"/>
  </w:num>
  <w:num w:numId="7">
    <w:abstractNumId w:val="27"/>
  </w:num>
  <w:num w:numId="8">
    <w:abstractNumId w:val="17"/>
  </w:num>
  <w:num w:numId="9">
    <w:abstractNumId w:val="32"/>
  </w:num>
  <w:num w:numId="10">
    <w:abstractNumId w:val="47"/>
  </w:num>
  <w:num w:numId="11">
    <w:abstractNumId w:val="11"/>
  </w:num>
  <w:num w:numId="12">
    <w:abstractNumId w:val="20"/>
  </w:num>
  <w:num w:numId="13">
    <w:abstractNumId w:val="12"/>
  </w:num>
  <w:num w:numId="14">
    <w:abstractNumId w:val="29"/>
  </w:num>
  <w:num w:numId="15">
    <w:abstractNumId w:val="18"/>
  </w:num>
  <w:num w:numId="16">
    <w:abstractNumId w:val="22"/>
  </w:num>
  <w:num w:numId="17">
    <w:abstractNumId w:val="28"/>
  </w:num>
  <w:num w:numId="18">
    <w:abstractNumId w:val="36"/>
  </w:num>
  <w:num w:numId="19">
    <w:abstractNumId w:val="3"/>
  </w:num>
  <w:num w:numId="20">
    <w:abstractNumId w:val="34"/>
  </w:num>
  <w:num w:numId="21">
    <w:abstractNumId w:val="5"/>
  </w:num>
  <w:num w:numId="22">
    <w:abstractNumId w:val="4"/>
  </w:num>
  <w:num w:numId="23">
    <w:abstractNumId w:val="41"/>
  </w:num>
  <w:num w:numId="24">
    <w:abstractNumId w:val="39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5"/>
  </w:num>
  <w:num w:numId="27">
    <w:abstractNumId w:val="48"/>
  </w:num>
  <w:num w:numId="28">
    <w:abstractNumId w:val="37"/>
  </w:num>
  <w:num w:numId="29">
    <w:abstractNumId w:val="30"/>
  </w:num>
  <w:num w:numId="30">
    <w:abstractNumId w:val="19"/>
  </w:num>
  <w:num w:numId="31">
    <w:abstractNumId w:val="43"/>
  </w:num>
  <w:num w:numId="32">
    <w:abstractNumId w:val="21"/>
  </w:num>
  <w:num w:numId="33">
    <w:abstractNumId w:val="1"/>
  </w:num>
  <w:num w:numId="34">
    <w:abstractNumId w:val="16"/>
  </w:num>
  <w:num w:numId="35">
    <w:abstractNumId w:val="10"/>
  </w:num>
  <w:num w:numId="36">
    <w:abstractNumId w:val="6"/>
  </w:num>
  <w:num w:numId="37">
    <w:abstractNumId w:val="14"/>
  </w:num>
  <w:num w:numId="38">
    <w:abstractNumId w:val="46"/>
  </w:num>
  <w:num w:numId="39">
    <w:abstractNumId w:val="15"/>
  </w:num>
  <w:num w:numId="40">
    <w:abstractNumId w:val="13"/>
  </w:num>
  <w:num w:numId="41">
    <w:abstractNumId w:val="35"/>
  </w:num>
  <w:num w:numId="42">
    <w:abstractNumId w:val="2"/>
  </w:num>
  <w:num w:numId="43">
    <w:abstractNumId w:val="44"/>
  </w:num>
  <w:num w:numId="44">
    <w:abstractNumId w:val="24"/>
  </w:num>
  <w:num w:numId="45">
    <w:abstractNumId w:val="9"/>
  </w:num>
  <w:num w:numId="46">
    <w:abstractNumId w:val="45"/>
  </w:num>
  <w:num w:numId="47">
    <w:abstractNumId w:val="7"/>
  </w:num>
  <w:num w:numId="48">
    <w:abstractNumId w:val="40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E7E6F"/>
    <w:rsid w:val="000F0F24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5E0B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1350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A62C0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3E9D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3F1D"/>
    <w:rsid w:val="00CA7FAB"/>
    <w:rsid w:val="00CB0242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3A4A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C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表段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43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9</cp:revision>
  <dcterms:created xsi:type="dcterms:W3CDTF">2024-11-08T15:06:00Z</dcterms:created>
  <dcterms:modified xsi:type="dcterms:W3CDTF">2024-11-08T19:33:00Z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